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F19" w:rsidRDefault="00556555" w:rsidP="00D34F19">
      <w:pPr>
        <w:jc w:val="center"/>
        <w:rPr>
          <w:rFonts w:ascii="Sylfaen" w:hAnsi="Sylfaen"/>
          <w:b/>
          <w:lang w:val="ka-GE"/>
        </w:rPr>
      </w:pPr>
      <w:r w:rsidRPr="00DD7792">
        <w:rPr>
          <w:rFonts w:ascii="Sylfaen" w:hAnsi="Sylfaen"/>
          <w:b/>
          <w:lang w:val="ka-GE"/>
        </w:rPr>
        <w:t xml:space="preserve">სამუშაო ადგილებზე ახალი კორონავირუსის (COVID-19) გავრცელების პრევენციის მიზნით  </w:t>
      </w:r>
      <w:r w:rsidR="00D34F19">
        <w:rPr>
          <w:rFonts w:ascii="Sylfaen" w:hAnsi="Sylfaen"/>
          <w:b/>
          <w:lang w:val="ka-GE"/>
        </w:rPr>
        <w:t>გ</w:t>
      </w:r>
      <w:r w:rsidRPr="00DD7792">
        <w:rPr>
          <w:rFonts w:ascii="Sylfaen" w:hAnsi="Sylfaen"/>
          <w:b/>
          <w:lang w:val="ka-GE"/>
        </w:rPr>
        <w:t xml:space="preserve">ატარებული </w:t>
      </w:r>
      <w:r w:rsidR="00D34F19">
        <w:rPr>
          <w:rFonts w:ascii="Sylfaen" w:hAnsi="Sylfaen"/>
          <w:b/>
          <w:lang w:val="ka-GE"/>
        </w:rPr>
        <w:t>ღონისძიებების შესახებ ინფორმაცია</w:t>
      </w:r>
    </w:p>
    <w:p w:rsidR="0010276A" w:rsidRDefault="0010276A" w:rsidP="00D34F19">
      <w:pPr>
        <w:jc w:val="center"/>
        <w:rPr>
          <w:rFonts w:ascii="Sylfaen" w:hAnsi="Sylfaen"/>
          <w:b/>
          <w:lang w:val="ka-GE"/>
        </w:rPr>
      </w:pPr>
      <w:bookmarkStart w:id="0" w:name="_GoBack"/>
      <w:bookmarkEnd w:id="0"/>
    </w:p>
    <w:p w:rsidR="00936400" w:rsidRPr="00936400" w:rsidRDefault="00936400" w:rsidP="0010276A">
      <w:pPr>
        <w:jc w:val="both"/>
        <w:rPr>
          <w:rFonts w:ascii="Sylfaen" w:hAnsi="Sylfaen"/>
          <w:lang w:val="ka-GE"/>
        </w:rPr>
      </w:pPr>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დეტალური რეკომენდაციები სხვადასხვა სექტორების მიხედვით. </w:t>
      </w:r>
    </w:p>
    <w:p w:rsidR="00936400" w:rsidRPr="00936400" w:rsidRDefault="00936400" w:rsidP="0010276A">
      <w:pPr>
        <w:jc w:val="both"/>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rsidR="00936400" w:rsidRPr="00936400" w:rsidRDefault="00936400" w:rsidP="0010276A">
      <w:pPr>
        <w:jc w:val="both"/>
        <w:rPr>
          <w:rFonts w:ascii="Sylfaen" w:hAnsi="Sylfaen"/>
          <w:lang w:val="ka-GE"/>
        </w:rPr>
      </w:pPr>
      <w:r w:rsidRPr="00936400">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განისაზღვრა, 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rsidR="0025656F" w:rsidRPr="00936400" w:rsidRDefault="0025656F" w:rsidP="0010276A">
      <w:pPr>
        <w:jc w:val="both"/>
        <w:rPr>
          <w:rFonts w:ascii="Sylfaen" w:hAnsi="Sylfaen"/>
          <w:lang w:val="ka-GE"/>
        </w:rPr>
      </w:pPr>
      <w:r w:rsidRPr="00936400">
        <w:rPr>
          <w:rFonts w:ascii="Sylfaen" w:hAnsi="Sylfaen"/>
          <w:lang w:val="ka-GE"/>
        </w:rPr>
        <w:t xml:space="preserve">2020 წლის 1 მაისიდან </w:t>
      </w:r>
      <w:r w:rsidR="0010276A">
        <w:rPr>
          <w:rFonts w:ascii="Sylfaen" w:hAnsi="Sylfaen"/>
          <w:lang w:val="ka-GE"/>
        </w:rPr>
        <w:t>22</w:t>
      </w:r>
      <w:r w:rsidRPr="00936400">
        <w:rPr>
          <w:rFonts w:ascii="Sylfaen" w:hAnsi="Sylfaen"/>
          <w:lang w:val="ka-GE"/>
        </w:rPr>
        <w:t xml:space="preserve"> მაისამდე აღნიშნული ღონისძიებების საფუძველზე სულ დაიგეგმა  </w:t>
      </w:r>
      <w:r w:rsidR="0010276A">
        <w:rPr>
          <w:rFonts w:ascii="Sylfaen" w:hAnsi="Sylfaen"/>
          <w:b/>
          <w:lang w:val="ka-GE"/>
        </w:rPr>
        <w:t xml:space="preserve">10479 </w:t>
      </w:r>
      <w:r w:rsidRPr="00936400">
        <w:rPr>
          <w:rFonts w:ascii="Sylfaen" w:hAnsi="Sylfaen"/>
          <w:b/>
          <w:lang w:val="ka-GE"/>
        </w:rPr>
        <w:t>ობიექტის შემოწმება.</w:t>
      </w:r>
      <w:r w:rsidR="00853431" w:rsidRPr="00936400">
        <w:rPr>
          <w:rFonts w:ascii="Sylfaen" w:hAnsi="Sylfaen"/>
          <w:lang w:val="ka-GE"/>
        </w:rPr>
        <w:t xml:space="preserve"> </w:t>
      </w:r>
      <w:r w:rsidRPr="00936400">
        <w:rPr>
          <w:rFonts w:ascii="Sylfaen" w:hAnsi="Sylfaen"/>
          <w:lang w:val="ka-GE"/>
        </w:rPr>
        <w:t xml:space="preserve">უნდა აღინიშნოს, რომ შემოწმების შედეგად გამოვლინდა, </w:t>
      </w:r>
      <w:r w:rsidR="00853431" w:rsidRPr="00936400">
        <w:rPr>
          <w:rFonts w:ascii="Sylfaen" w:hAnsi="Sylfaen"/>
          <w:lang w:val="ka-GE"/>
        </w:rPr>
        <w:t>რომ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r w:rsidRPr="00936400">
        <w:rPr>
          <w:rFonts w:ascii="Sylfaen" w:hAnsi="Sylfaen"/>
          <w:lang w:val="ka-GE"/>
        </w:rPr>
        <w:t>:</w:t>
      </w:r>
    </w:p>
    <w:p w:rsidR="0025656F" w:rsidRPr="00936400" w:rsidRDefault="0025656F" w:rsidP="0010276A">
      <w:pPr>
        <w:pStyle w:val="ListParagraph"/>
        <w:numPr>
          <w:ilvl w:val="0"/>
          <w:numId w:val="3"/>
        </w:numPr>
        <w:jc w:val="both"/>
        <w:rPr>
          <w:rFonts w:ascii="Sylfaen" w:hAnsi="Sylfaen"/>
          <w:lang w:val="ka-GE"/>
        </w:rPr>
      </w:pPr>
      <w:r w:rsidRPr="00936400">
        <w:rPr>
          <w:rFonts w:ascii="Sylfaen" w:hAnsi="Sylfaen"/>
          <w:lang w:val="ka-GE"/>
        </w:rPr>
        <w:lastRenderedPageBreak/>
        <w:t xml:space="preserve">სრულად შესრულებული აქვს </w:t>
      </w:r>
      <w:r w:rsidR="0010276A">
        <w:rPr>
          <w:rFonts w:ascii="Sylfaen" w:hAnsi="Sylfaen"/>
          <w:b/>
          <w:lang w:val="ka-GE"/>
        </w:rPr>
        <w:t>3589</w:t>
      </w:r>
      <w:r w:rsidRPr="00936400">
        <w:rPr>
          <w:rFonts w:ascii="Sylfaen" w:hAnsi="Sylfaen"/>
          <w:b/>
          <w:lang w:val="ka-GE"/>
        </w:rPr>
        <w:t xml:space="preserve"> ობიექტს;</w:t>
      </w:r>
    </w:p>
    <w:p w:rsidR="0025656F" w:rsidRPr="00936400" w:rsidRDefault="0025656F" w:rsidP="0010276A">
      <w:pPr>
        <w:pStyle w:val="ListParagraph"/>
        <w:numPr>
          <w:ilvl w:val="0"/>
          <w:numId w:val="3"/>
        </w:numPr>
        <w:jc w:val="both"/>
        <w:rPr>
          <w:rFonts w:ascii="Sylfaen" w:hAnsi="Sylfaen"/>
          <w:lang w:val="ka-GE"/>
        </w:rPr>
      </w:pPr>
      <w:r w:rsidRPr="00936400">
        <w:rPr>
          <w:rFonts w:ascii="Sylfaen" w:hAnsi="Sylfaen"/>
          <w:b/>
          <w:lang w:val="ka-GE"/>
        </w:rPr>
        <w:t>ვერ აკმაყოფილებს 22</w:t>
      </w:r>
      <w:r w:rsidR="0010276A">
        <w:rPr>
          <w:rFonts w:ascii="Sylfaen" w:hAnsi="Sylfaen"/>
          <w:b/>
          <w:lang w:val="ka-GE"/>
        </w:rPr>
        <w:t>94</w:t>
      </w:r>
      <w:r w:rsidRPr="00936400">
        <w:rPr>
          <w:rFonts w:ascii="Sylfaen" w:hAnsi="Sylfaen"/>
          <w:b/>
          <w:lang w:val="ka-GE"/>
        </w:rPr>
        <w:t xml:space="preserve"> ობიექტი;</w:t>
      </w:r>
      <w:r w:rsidRPr="00936400">
        <w:rPr>
          <w:rFonts w:ascii="Sylfaen" w:hAnsi="Sylfaen"/>
          <w:lang w:val="ka-GE"/>
        </w:rPr>
        <w:t xml:space="preserve"> </w:t>
      </w:r>
    </w:p>
    <w:p w:rsidR="0025656F" w:rsidRPr="00936400" w:rsidRDefault="0025656F" w:rsidP="0010276A">
      <w:pPr>
        <w:pStyle w:val="ListParagraph"/>
        <w:numPr>
          <w:ilvl w:val="0"/>
          <w:numId w:val="3"/>
        </w:numPr>
        <w:jc w:val="both"/>
        <w:rPr>
          <w:rFonts w:ascii="Sylfaen" w:hAnsi="Sylfaen"/>
          <w:lang w:val="ka-GE"/>
        </w:rPr>
      </w:pPr>
      <w:r w:rsidRPr="00936400">
        <w:rPr>
          <w:rFonts w:ascii="Sylfaen" w:hAnsi="Sylfaen"/>
          <w:lang w:val="ka-GE"/>
        </w:rPr>
        <w:t xml:space="preserve">შემოწმებისთვის </w:t>
      </w:r>
      <w:r w:rsidRPr="00936400">
        <w:rPr>
          <w:rFonts w:ascii="Sylfaen" w:hAnsi="Sylfaen"/>
          <w:b/>
          <w:lang w:val="ka-GE"/>
        </w:rPr>
        <w:t>მზად არ აღმოჩნდა 4</w:t>
      </w:r>
      <w:r w:rsidR="0010276A">
        <w:rPr>
          <w:rFonts w:ascii="Sylfaen" w:hAnsi="Sylfaen"/>
          <w:b/>
          <w:lang w:val="ka-GE"/>
        </w:rPr>
        <w:t>596</w:t>
      </w:r>
      <w:r w:rsidRPr="00936400">
        <w:rPr>
          <w:rFonts w:ascii="Sylfaen" w:hAnsi="Sylfaen"/>
          <w:b/>
          <w:lang w:val="ka-GE"/>
        </w:rPr>
        <w:t xml:space="preserve">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rsidR="0025656F" w:rsidRPr="00936400" w:rsidRDefault="0025656F" w:rsidP="0010276A">
      <w:pPr>
        <w:jc w:val="both"/>
        <w:rPr>
          <w:rFonts w:ascii="Sylfaen" w:hAnsi="Sylfaen"/>
          <w:lang w:val="ka-GE"/>
        </w:rPr>
      </w:pPr>
      <w:r w:rsidRPr="00936400">
        <w:rPr>
          <w:rFonts w:ascii="Sylfaen" w:hAnsi="Sylfaen"/>
          <w:lang w:val="ka-GE"/>
        </w:rPr>
        <w:t xml:space="preserve">ასევე აღსანიშნავია, რომ 2020 წლის </w:t>
      </w:r>
      <w:r w:rsidR="0010276A">
        <w:rPr>
          <w:rFonts w:ascii="Sylfaen" w:hAnsi="Sylfaen"/>
          <w:lang w:val="ka-GE"/>
        </w:rPr>
        <w:t>22</w:t>
      </w:r>
      <w:r w:rsidRPr="00936400">
        <w:rPr>
          <w:rFonts w:ascii="Sylfaen" w:hAnsi="Sylfaen"/>
          <w:lang w:val="ka-GE"/>
        </w:rPr>
        <w:t xml:space="preserve">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w:t>
      </w:r>
      <w:r w:rsidR="0010276A">
        <w:rPr>
          <w:rFonts w:ascii="Sylfaen" w:hAnsi="Sylfaen"/>
          <w:lang w:val="ka-GE"/>
        </w:rPr>
        <w:t>19977</w:t>
      </w:r>
      <w:r w:rsidRPr="00936400">
        <w:rPr>
          <w:rFonts w:ascii="Sylfaen" w:hAnsi="Sylfaen"/>
          <w:lang w:val="ka-GE"/>
        </w:rPr>
        <w:t xml:space="preserve"> ეკონომიკური საქმიანობის განმახორციელებელი ობიექტი/მეწარმე სუბიექტი. </w:t>
      </w:r>
    </w:p>
    <w:p w:rsidR="00DD7792" w:rsidRDefault="0025656F" w:rsidP="0010276A">
      <w:pPr>
        <w:jc w:val="both"/>
        <w:rPr>
          <w:rFonts w:ascii="Sylfaen" w:hAnsi="Sylfaen"/>
          <w:lang w:val="ka-GE"/>
        </w:rPr>
      </w:pPr>
      <w:r w:rsidRPr="00936400">
        <w:rPr>
          <w:rFonts w:ascii="Sylfaen" w:hAnsi="Sylfaen"/>
          <w:lang w:val="ka-GE"/>
        </w:rPr>
        <w:t>მონაცემები ასევე წარმოდგენილია გრაფიკულად.</w:t>
      </w:r>
    </w:p>
    <w:p w:rsidR="0010276A" w:rsidRDefault="0010276A" w:rsidP="00D34F19">
      <w:pPr>
        <w:jc w:val="both"/>
        <w:rPr>
          <w:rFonts w:ascii="Sylfaen" w:hAnsi="Sylfaen"/>
          <w:lang w:val="ka-GE"/>
        </w:rPr>
      </w:pPr>
    </w:p>
    <w:p w:rsidR="0010276A" w:rsidRDefault="0010276A" w:rsidP="00D34F19">
      <w:pPr>
        <w:jc w:val="both"/>
        <w:rPr>
          <w:rFonts w:ascii="Sylfaen" w:hAnsi="Sylfaen"/>
          <w:lang w:val="ka-GE"/>
        </w:rPr>
      </w:pPr>
      <w:r>
        <w:rPr>
          <w:noProof/>
          <w:lang w:val="en-GB" w:eastAsia="en-GB"/>
        </w:rPr>
        <w:drawing>
          <wp:inline distT="0" distB="0" distL="0" distR="0" wp14:anchorId="3C1410F0" wp14:editId="232A4034">
            <wp:extent cx="6033135" cy="3271234"/>
            <wp:effectExtent l="0" t="0" r="571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A5674" w:rsidRPr="00936400" w:rsidRDefault="009A5674" w:rsidP="00D34F19">
      <w:pPr>
        <w:jc w:val="both"/>
        <w:rPr>
          <w:rFonts w:ascii="Sylfaen" w:hAnsi="Sylfaen"/>
          <w:lang w:val="ka-GE"/>
        </w:rPr>
      </w:pPr>
    </w:p>
    <w:p w:rsidR="00DD7792" w:rsidRPr="00936400" w:rsidRDefault="0010276A" w:rsidP="0010276A">
      <w:pPr>
        <w:jc w:val="center"/>
        <w:rPr>
          <w:rFonts w:ascii="Sylfaen" w:hAnsi="Sylfaen"/>
          <w:lang w:val="ka-GE"/>
        </w:rPr>
      </w:pPr>
      <w:r>
        <w:rPr>
          <w:noProof/>
          <w:lang w:val="en-GB" w:eastAsia="en-GB"/>
        </w:rPr>
        <w:lastRenderedPageBreak/>
        <w:drawing>
          <wp:inline distT="0" distB="0" distL="0" distR="0" wp14:anchorId="328D5BF9" wp14:editId="6079AD20">
            <wp:extent cx="4572000" cy="1873876"/>
            <wp:effectExtent l="0" t="0" r="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5656F" w:rsidRPr="00936400" w:rsidRDefault="0025656F" w:rsidP="00D34F19">
      <w:pPr>
        <w:jc w:val="both"/>
        <w:rPr>
          <w:rFonts w:ascii="Sylfaen" w:hAnsi="Sylfaen"/>
          <w:lang w:val="ka-GE"/>
        </w:rPr>
      </w:pPr>
    </w:p>
    <w:p w:rsidR="00936400" w:rsidRPr="00322A4C" w:rsidRDefault="005D2A0D" w:rsidP="0010276A">
      <w:pPr>
        <w:jc w:val="both"/>
        <w:rPr>
          <w:rFonts w:ascii="Sylfaen" w:hAnsi="Sylfaen"/>
          <w:lang w:val="ka-GE"/>
        </w:rPr>
      </w:pPr>
      <w:r w:rsidRPr="00322A4C">
        <w:rPr>
          <w:rFonts w:ascii="Sylfaen" w:hAnsi="Sylfaen"/>
          <w:lang w:val="ka-GE"/>
        </w:rPr>
        <w:t xml:space="preserve">შრომის </w:t>
      </w:r>
      <w:r w:rsidR="00936400" w:rsidRPr="00322A4C">
        <w:rPr>
          <w:rFonts w:ascii="Sylfaen" w:hAnsi="Sylfaen"/>
          <w:lang w:val="ka-GE"/>
        </w:rPr>
        <w:t>ინსპექციის ორგანიზებით და</w:t>
      </w:r>
      <w:r w:rsidRPr="00322A4C">
        <w:rPr>
          <w:rFonts w:ascii="Sylfaen" w:hAnsi="Sylfaen"/>
          <w:lang w:val="ka-GE"/>
        </w:rPr>
        <w:t xml:space="preserve"> სხვა </w:t>
      </w:r>
      <w:r w:rsidR="00936400" w:rsidRPr="00322A4C">
        <w:rPr>
          <w:rFonts w:ascii="Sylfaen" w:hAnsi="Sylfaen"/>
          <w:lang w:val="ka-GE"/>
        </w:rPr>
        <w:t>უწყებების ჩართულობით</w:t>
      </w:r>
      <w:r w:rsidRPr="00322A4C">
        <w:rPr>
          <w:rFonts w:ascii="Sylfaen" w:hAnsi="Sylfaen"/>
          <w:lang w:val="ka-GE"/>
        </w:rPr>
        <w:t xml:space="preserve"> </w:t>
      </w:r>
      <w:r w:rsidR="00936400" w:rsidRPr="00322A4C">
        <w:rPr>
          <w:rFonts w:ascii="Sylfaen" w:hAnsi="Sylfaen"/>
          <w:lang w:val="ka-GE"/>
        </w:rPr>
        <w:t>ხორციელდება</w:t>
      </w:r>
      <w:r w:rsidRPr="00322A4C">
        <w:rPr>
          <w:rFonts w:ascii="Sylfaen" w:hAnsi="Sylfaen"/>
          <w:lang w:val="ka-GE"/>
        </w:rPr>
        <w:t xml:space="preserve"> ინტენსიურ</w:t>
      </w:r>
      <w:r w:rsidR="00936400" w:rsidRPr="00322A4C">
        <w:rPr>
          <w:rFonts w:ascii="Sylfaen" w:hAnsi="Sylfaen"/>
          <w:lang w:val="ka-GE"/>
        </w:rPr>
        <w:t>ი</w:t>
      </w:r>
      <w:r w:rsidRPr="00322A4C">
        <w:rPr>
          <w:rFonts w:ascii="Sylfaen" w:hAnsi="Sylfaen"/>
          <w:lang w:val="ka-GE"/>
        </w:rPr>
        <w:t xml:space="preserve"> </w:t>
      </w:r>
      <w:r w:rsidR="00936400" w:rsidRPr="00322A4C">
        <w:rPr>
          <w:rFonts w:ascii="Sylfaen" w:hAnsi="Sylfaen"/>
          <w:lang w:val="ka-GE"/>
        </w:rPr>
        <w:t>შემოწმებები</w:t>
      </w:r>
      <w:r w:rsidRPr="00322A4C">
        <w:rPr>
          <w:rFonts w:ascii="Sylfaen" w:hAnsi="Sylfaen"/>
          <w:lang w:val="ka-GE"/>
        </w:rPr>
        <w:t xml:space="preserve">, რათა მაქსიმალურად მოხდეს </w:t>
      </w:r>
      <w:r w:rsidR="00B22D58" w:rsidRPr="00322A4C">
        <w:rPr>
          <w:rFonts w:ascii="Sylfaen" w:hAnsi="Sylfaen"/>
          <w:lang w:val="ka-GE"/>
        </w:rPr>
        <w:t>ბიზნესის მომზადება</w:t>
      </w:r>
      <w:r w:rsidR="00936400" w:rsidRPr="00322A4C">
        <w:rPr>
          <w:rFonts w:ascii="Sylfaen" w:hAnsi="Sylfaen"/>
          <w:lang w:val="ka-GE"/>
        </w:rPr>
        <w:t xml:space="preserve"> </w:t>
      </w:r>
      <w:r w:rsidR="00B22D58" w:rsidRPr="00322A4C">
        <w:rPr>
          <w:rFonts w:ascii="Sylfaen" w:hAnsi="Sylfaen"/>
          <w:lang w:val="ka-GE"/>
        </w:rPr>
        <w:t>ეკონომიკური საქმიანობის უსაფრთხოდ</w:t>
      </w:r>
      <w:r w:rsidR="00322A4C" w:rsidRPr="00322A4C">
        <w:rPr>
          <w:rFonts w:ascii="Sylfaen" w:hAnsi="Sylfaen"/>
          <w:lang w:val="ka-GE"/>
        </w:rPr>
        <w:t xml:space="preserve"> გასახსნელად. ამ პროცესში შრომის ინსპექცია დღემდე ინარჩუნებს მეგობრულ ურთიერთობას ბიზნესთან, ამოწმებს და აძლევს კომპანიებს შესაბამის მითითებებს, რათა ეკონომიკის გახსნა მოხდეს უსაფრთხოდ, მოქალაქეები დაცულნი იყვნენ ვირუსის გავრცელებისგან და პროცესი ეტაპობრივად და მდგრადად წარიმართოს. </w:t>
      </w:r>
      <w:r w:rsidR="00B22D58" w:rsidRPr="00322A4C">
        <w:rPr>
          <w:rFonts w:ascii="Sylfaen" w:hAnsi="Sylfaen"/>
          <w:lang w:val="ka-GE"/>
        </w:rPr>
        <w:t xml:space="preserve"> </w:t>
      </w:r>
      <w:r w:rsidR="00322A4C">
        <w:rPr>
          <w:rFonts w:ascii="Sylfaen" w:hAnsi="Sylfaen"/>
          <w:lang w:val="ka-GE"/>
        </w:rPr>
        <w:t xml:space="preserve">ხოლო </w:t>
      </w:r>
      <w:r w:rsidR="00B22D58" w:rsidRPr="00322A4C">
        <w:rPr>
          <w:rFonts w:ascii="Sylfaen" w:hAnsi="Sylfaen"/>
          <w:lang w:val="ka-GE"/>
        </w:rPr>
        <w:t xml:space="preserve">საქართველომ კვლავ შეინარჩუნოს ლიდერი პოზიცია იმ ქვეყანათა შორის, რომელიც წარმატებულად უმკლავდება რთულ გამოწვევას - პანდემიას. </w:t>
      </w:r>
    </w:p>
    <w:p w:rsidR="0025656F" w:rsidRDefault="0025656F" w:rsidP="0010276A">
      <w:pPr>
        <w:jc w:val="both"/>
        <w:rPr>
          <w:lang w:val="ka-GE"/>
        </w:rPr>
      </w:pPr>
    </w:p>
    <w:p w:rsidR="0025656F" w:rsidRPr="00DD7792" w:rsidRDefault="0025656F" w:rsidP="0025656F">
      <w:pPr>
        <w:jc w:val="both"/>
        <w:rPr>
          <w:rFonts w:ascii="Sylfaen" w:hAnsi="Sylfaen"/>
          <w:lang w:val="ka-GE"/>
        </w:rPr>
      </w:pPr>
    </w:p>
    <w:p w:rsidR="0025656F" w:rsidRPr="00DD7792" w:rsidRDefault="0025656F" w:rsidP="00D34F19">
      <w:pPr>
        <w:jc w:val="both"/>
        <w:rPr>
          <w:rFonts w:ascii="Sylfaen" w:hAnsi="Sylfaen"/>
          <w:lang w:val="ka-GE"/>
        </w:rPr>
      </w:pPr>
    </w:p>
    <w:sectPr w:rsidR="0025656F" w:rsidRPr="00DD7792" w:rsidSect="00837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C90"/>
    <w:multiLevelType w:val="multilevel"/>
    <w:tmpl w:val="A18AB92E"/>
    <w:styleLink w:val="Style1"/>
    <w:lvl w:ilvl="0">
      <w:start w:val="1"/>
      <w:numFmt w:val="decimal"/>
      <w:lvlText w:val="%1."/>
      <w:lvlJc w:val="left"/>
      <w:pPr>
        <w:ind w:left="72" w:hanging="72"/>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978576C"/>
    <w:multiLevelType w:val="hybridMultilevel"/>
    <w:tmpl w:val="08226648"/>
    <w:lvl w:ilvl="0" w:tplc="EA7898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8433D8"/>
    <w:multiLevelType w:val="hybridMultilevel"/>
    <w:tmpl w:val="965CDC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AE54BE"/>
    <w:multiLevelType w:val="hybridMultilevel"/>
    <w:tmpl w:val="65FAB6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5B"/>
    <w:rsid w:val="0010276A"/>
    <w:rsid w:val="002140DF"/>
    <w:rsid w:val="0025656F"/>
    <w:rsid w:val="002E38D0"/>
    <w:rsid w:val="00322A4C"/>
    <w:rsid w:val="00556555"/>
    <w:rsid w:val="005D2A0D"/>
    <w:rsid w:val="005E67EC"/>
    <w:rsid w:val="00677D5C"/>
    <w:rsid w:val="00837DFC"/>
    <w:rsid w:val="00853431"/>
    <w:rsid w:val="008639B7"/>
    <w:rsid w:val="00936400"/>
    <w:rsid w:val="009A5674"/>
    <w:rsid w:val="00B22D58"/>
    <w:rsid w:val="00B333AD"/>
    <w:rsid w:val="00B42861"/>
    <w:rsid w:val="00B83A5B"/>
    <w:rsid w:val="00D34F19"/>
    <w:rsid w:val="00D535CC"/>
    <w:rsid w:val="00D97F4C"/>
    <w:rsid w:val="00DD7792"/>
    <w:rsid w:val="00EB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5BB2D-4BA7-4CDA-9834-254B5786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140DF"/>
    <w:pPr>
      <w:numPr>
        <w:numId w:val="1"/>
      </w:numPr>
    </w:pPr>
  </w:style>
  <w:style w:type="paragraph" w:styleId="ListParagraph">
    <w:name w:val="List Paragraph"/>
    <w:basedOn w:val="Normal"/>
    <w:uiPriority w:val="34"/>
    <w:qFormat/>
    <w:rsid w:val="002E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17119">
      <w:bodyDiv w:val="1"/>
      <w:marLeft w:val="0"/>
      <w:marRight w:val="0"/>
      <w:marTop w:val="0"/>
      <w:marBottom w:val="0"/>
      <w:divBdr>
        <w:top w:val="none" w:sz="0" w:space="0" w:color="auto"/>
        <w:left w:val="none" w:sz="0" w:space="0" w:color="auto"/>
        <w:bottom w:val="none" w:sz="0" w:space="0" w:color="auto"/>
        <w:right w:val="none" w:sz="0" w:space="0" w:color="auto"/>
      </w:divBdr>
      <w:divsChild>
        <w:div w:id="1217275545">
          <w:marLeft w:val="0"/>
          <w:marRight w:val="0"/>
          <w:marTop w:val="0"/>
          <w:marBottom w:val="0"/>
          <w:divBdr>
            <w:top w:val="none" w:sz="0" w:space="0" w:color="auto"/>
            <w:left w:val="none" w:sz="0" w:space="0" w:color="auto"/>
            <w:bottom w:val="none" w:sz="0" w:space="0" w:color="auto"/>
            <w:right w:val="none" w:sz="0" w:space="0" w:color="auto"/>
          </w:divBdr>
        </w:div>
      </w:divsChild>
    </w:div>
    <w:div w:id="11436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dartsmelia.MOLHSA.000\Desktop\&#4321;&#4322;&#4304;&#4322;&#4312;&#4321;&#4322;&#4312;&#4313;&#4323;&#4320;&#4312;%20&#4317;&#4316;&#4304;&#4330;&#4308;&#4315;&#4308;&#4305;&#4312;\&#4305;&#4308;&#4325;&#4304;&#4321;&#4311;&#4309;&#4312;&#4321;%20&#4306;&#4304;&#4321;&#4304;&#4306;&#4310;&#4304;&#4309;&#4316;&#4312;\&#4312;&#4316;&#4321;&#4318;&#4308;&#4325;&#4330;&#4312;&#4304;%20&#4318;&#4320;&#4317;&#4330;&#4308;&#4316;&#4322;&#4308;&#4305;&#4328;&#4312;%20&#4308;&#4325;&#4321;&#4308;&#4314;&#4312;%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ka-GE"/>
              <a:t>01-22 მაისს სულ შემოწმდა 10479</a:t>
            </a:r>
            <a:endParaRPr lang="en-GB"/>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'01 მაისიდან'!$C$555</c:f>
              <c:strCache>
                <c:ptCount val="1"/>
                <c:pt idx="0">
                  <c:v>აკმაყოფილებს</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cat>
            <c:multiLvlStrRef>
              <c:f>'01 მაისიდან'!$A$556:$B$566</c:f>
              <c:multiLvlStrCache>
                <c:ptCount val="11"/>
                <c:lvl>
                  <c:pt idx="0">
                    <c:v>4219</c:v>
                  </c:pt>
                  <c:pt idx="1">
                    <c:v>772</c:v>
                  </c:pt>
                  <c:pt idx="2">
                    <c:v>1377</c:v>
                  </c:pt>
                  <c:pt idx="3">
                    <c:v>163</c:v>
                  </c:pt>
                  <c:pt idx="4">
                    <c:v>1633</c:v>
                  </c:pt>
                  <c:pt idx="5">
                    <c:v>222</c:v>
                  </c:pt>
                  <c:pt idx="6">
                    <c:v>129</c:v>
                  </c:pt>
                  <c:pt idx="7">
                    <c:v>352</c:v>
                  </c:pt>
                  <c:pt idx="8">
                    <c:v>420</c:v>
                  </c:pt>
                  <c:pt idx="9">
                    <c:v>677</c:v>
                  </c:pt>
                  <c:pt idx="10">
                    <c:v>515</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მაისიდან'!$C$556:$C$566</c:f>
              <c:numCache>
                <c:formatCode>General</c:formatCode>
                <c:ptCount val="11"/>
                <c:pt idx="0">
                  <c:v>1556</c:v>
                </c:pt>
                <c:pt idx="1">
                  <c:v>260</c:v>
                </c:pt>
                <c:pt idx="2">
                  <c:v>310</c:v>
                </c:pt>
                <c:pt idx="3">
                  <c:v>62</c:v>
                </c:pt>
                <c:pt idx="4">
                  <c:v>578</c:v>
                </c:pt>
                <c:pt idx="5">
                  <c:v>55</c:v>
                </c:pt>
                <c:pt idx="6">
                  <c:v>64</c:v>
                </c:pt>
                <c:pt idx="7">
                  <c:v>148</c:v>
                </c:pt>
                <c:pt idx="8">
                  <c:v>190</c:v>
                </c:pt>
                <c:pt idx="9">
                  <c:v>207</c:v>
                </c:pt>
                <c:pt idx="10">
                  <c:v>159</c:v>
                </c:pt>
              </c:numCache>
            </c:numRef>
          </c:val>
        </c:ser>
        <c:ser>
          <c:idx val="1"/>
          <c:order val="1"/>
          <c:tx>
            <c:strRef>
              <c:f>'01 მაისიდან'!$D$555</c:f>
              <c:strCache>
                <c:ptCount val="1"/>
                <c:pt idx="0">
                  <c:v>ვერ აკმაყოფილებს</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cat>
            <c:multiLvlStrRef>
              <c:f>'01 მაისიდან'!$A$556:$B$566</c:f>
              <c:multiLvlStrCache>
                <c:ptCount val="11"/>
                <c:lvl>
                  <c:pt idx="0">
                    <c:v>4219</c:v>
                  </c:pt>
                  <c:pt idx="1">
                    <c:v>772</c:v>
                  </c:pt>
                  <c:pt idx="2">
                    <c:v>1377</c:v>
                  </c:pt>
                  <c:pt idx="3">
                    <c:v>163</c:v>
                  </c:pt>
                  <c:pt idx="4">
                    <c:v>1633</c:v>
                  </c:pt>
                  <c:pt idx="5">
                    <c:v>222</c:v>
                  </c:pt>
                  <c:pt idx="6">
                    <c:v>129</c:v>
                  </c:pt>
                  <c:pt idx="7">
                    <c:v>352</c:v>
                  </c:pt>
                  <c:pt idx="8">
                    <c:v>420</c:v>
                  </c:pt>
                  <c:pt idx="9">
                    <c:v>677</c:v>
                  </c:pt>
                  <c:pt idx="10">
                    <c:v>515</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მაისიდან'!$D$556:$D$566</c:f>
              <c:numCache>
                <c:formatCode>General</c:formatCode>
                <c:ptCount val="11"/>
                <c:pt idx="0">
                  <c:v>995</c:v>
                </c:pt>
                <c:pt idx="1">
                  <c:v>52</c:v>
                </c:pt>
                <c:pt idx="2">
                  <c:v>433</c:v>
                </c:pt>
                <c:pt idx="3">
                  <c:v>54</c:v>
                </c:pt>
                <c:pt idx="4">
                  <c:v>257</c:v>
                </c:pt>
                <c:pt idx="5">
                  <c:v>69</c:v>
                </c:pt>
                <c:pt idx="6">
                  <c:v>5</c:v>
                </c:pt>
                <c:pt idx="7">
                  <c:v>43</c:v>
                </c:pt>
                <c:pt idx="8">
                  <c:v>171</c:v>
                </c:pt>
                <c:pt idx="9">
                  <c:v>50</c:v>
                </c:pt>
                <c:pt idx="10">
                  <c:v>165</c:v>
                </c:pt>
              </c:numCache>
            </c:numRef>
          </c:val>
        </c:ser>
        <c:ser>
          <c:idx val="2"/>
          <c:order val="2"/>
          <c:tx>
            <c:strRef>
              <c:f>'01 მაისიდან'!$E$555</c:f>
              <c:strCache>
                <c:ptCount val="1"/>
                <c:pt idx="0">
                  <c:v>არ იყო მზად</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cat>
            <c:multiLvlStrRef>
              <c:f>'01 მაისიდან'!$A$556:$B$566</c:f>
              <c:multiLvlStrCache>
                <c:ptCount val="11"/>
                <c:lvl>
                  <c:pt idx="0">
                    <c:v>4219</c:v>
                  </c:pt>
                  <c:pt idx="1">
                    <c:v>772</c:v>
                  </c:pt>
                  <c:pt idx="2">
                    <c:v>1377</c:v>
                  </c:pt>
                  <c:pt idx="3">
                    <c:v>163</c:v>
                  </c:pt>
                  <c:pt idx="4">
                    <c:v>1633</c:v>
                  </c:pt>
                  <c:pt idx="5">
                    <c:v>222</c:v>
                  </c:pt>
                  <c:pt idx="6">
                    <c:v>129</c:v>
                  </c:pt>
                  <c:pt idx="7">
                    <c:v>352</c:v>
                  </c:pt>
                  <c:pt idx="8">
                    <c:v>420</c:v>
                  </c:pt>
                  <c:pt idx="9">
                    <c:v>677</c:v>
                  </c:pt>
                  <c:pt idx="10">
                    <c:v>515</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მაისიდან'!$E$556:$E$566</c:f>
              <c:numCache>
                <c:formatCode>General</c:formatCode>
                <c:ptCount val="11"/>
                <c:pt idx="0">
                  <c:v>1668</c:v>
                </c:pt>
                <c:pt idx="1">
                  <c:v>460</c:v>
                </c:pt>
                <c:pt idx="2">
                  <c:v>634</c:v>
                </c:pt>
                <c:pt idx="3">
                  <c:v>47</c:v>
                </c:pt>
                <c:pt idx="4">
                  <c:v>798</c:v>
                </c:pt>
                <c:pt idx="5">
                  <c:v>98</c:v>
                </c:pt>
                <c:pt idx="6">
                  <c:v>60</c:v>
                </c:pt>
                <c:pt idx="7">
                  <c:v>161</c:v>
                </c:pt>
                <c:pt idx="8">
                  <c:v>59</c:v>
                </c:pt>
                <c:pt idx="9">
                  <c:v>420</c:v>
                </c:pt>
                <c:pt idx="10">
                  <c:v>191</c:v>
                </c:pt>
              </c:numCache>
            </c:numRef>
          </c:val>
        </c:ser>
        <c:dLbls>
          <c:showLegendKey val="0"/>
          <c:showVal val="0"/>
          <c:showCatName val="0"/>
          <c:showSerName val="0"/>
          <c:showPercent val="0"/>
          <c:showBubbleSize val="0"/>
        </c:dLbls>
        <c:gapWidth val="84"/>
        <c:gapDepth val="53"/>
        <c:shape val="box"/>
        <c:axId val="-1391731584"/>
        <c:axId val="-1391735392"/>
        <c:axId val="0"/>
      </c:bar3DChart>
      <c:catAx>
        <c:axId val="-1391731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391735392"/>
        <c:crosses val="autoZero"/>
        <c:auto val="1"/>
        <c:lblAlgn val="ctr"/>
        <c:lblOffset val="100"/>
        <c:noMultiLvlLbl val="0"/>
      </c:catAx>
      <c:valAx>
        <c:axId val="-1391735392"/>
        <c:scaling>
          <c:orientation val="minMax"/>
        </c:scaling>
        <c:delete val="1"/>
        <c:axPos val="l"/>
        <c:numFmt formatCode="General" sourceLinked="1"/>
        <c:majorTickMark val="out"/>
        <c:minorTickMark val="none"/>
        <c:tickLblPos val="nextTo"/>
        <c:crossAx val="-1391731584"/>
        <c:crosses val="autoZero"/>
        <c:crossBetween val="between"/>
      </c:val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01-22 მაისს სულ შემოწმდა 10479</a:t>
            </a:r>
            <a:endParaRPr lang="en-GB"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Sheet1!$I$445:$I$447</c:f>
              <c:strCache>
                <c:ptCount val="3"/>
                <c:pt idx="0">
                  <c:v>დააკმაყოფილა  3589</c:v>
                </c:pt>
                <c:pt idx="1">
                  <c:v>ვერ დააკმაყოფილა 2294</c:v>
                </c:pt>
                <c:pt idx="2">
                  <c:v>არ იყო მზად 4596</c:v>
                </c:pt>
              </c:strCache>
            </c:strRef>
          </c:cat>
          <c:val>
            <c:numRef>
              <c:f>Sheet1!$J$445:$J$447</c:f>
              <c:numCache>
                <c:formatCode>General</c:formatCode>
                <c:ptCount val="3"/>
                <c:pt idx="0">
                  <c:v>34.24945128351942</c:v>
                </c:pt>
                <c:pt idx="1">
                  <c:v>21.891401851321692</c:v>
                </c:pt>
                <c:pt idx="2">
                  <c:v>43.859146865158891</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1514-4A57-4200-80BA-253FF061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Ketevan Dartsmelia</cp:lastModifiedBy>
  <cp:revision>3</cp:revision>
  <dcterms:created xsi:type="dcterms:W3CDTF">2020-05-25T12:44:00Z</dcterms:created>
  <dcterms:modified xsi:type="dcterms:W3CDTF">2020-05-25T12:50:00Z</dcterms:modified>
</cp:coreProperties>
</file>